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有限责任公司出资凭证托管协议</w:t>
      </w:r>
    </w:p>
    <w:p>
      <w:pPr>
        <w:rPr>
          <w:rFonts w:ascii="仿宋" w:hAnsi="仿宋" w:eastAsia="仿宋" w:cs="仿宋"/>
          <w:sz w:val="32"/>
          <w:szCs w:val="40"/>
        </w:rPr>
      </w:pPr>
    </w:p>
    <w:p>
      <w:pPr>
        <w:spacing w:line="600" w:lineRule="exact"/>
        <w:rPr>
          <w:rFonts w:ascii="黑体" w:hAnsi="黑体" w:eastAsia="黑体" w:cs="黑体"/>
          <w:bCs/>
          <w:sz w:val="30"/>
          <w:szCs w:val="30"/>
        </w:rPr>
      </w:pPr>
      <w:r>
        <w:rPr>
          <w:rFonts w:hint="eastAsia" w:ascii="黑体" w:hAnsi="黑体" w:eastAsia="黑体" w:cs="黑体"/>
          <w:bCs/>
          <w:sz w:val="30"/>
          <w:szCs w:val="30"/>
        </w:rPr>
        <w:t>委托人（以下简称甲方）：</w:t>
      </w:r>
    </w:p>
    <w:p>
      <w:pPr>
        <w:spacing w:line="600" w:lineRule="exact"/>
        <w:rPr>
          <w:rFonts w:ascii="黑体" w:hAnsi="黑体" w:eastAsia="黑体" w:cs="黑体"/>
          <w:bCs/>
          <w:sz w:val="30"/>
          <w:szCs w:val="30"/>
        </w:rPr>
      </w:pPr>
      <w:r>
        <w:rPr>
          <w:rFonts w:hint="eastAsia" w:ascii="黑体" w:hAnsi="黑体" w:eastAsia="黑体" w:cs="黑体"/>
          <w:bCs/>
          <w:sz w:val="30"/>
          <w:szCs w:val="30"/>
        </w:rPr>
        <w:t>实际经营地：</w:t>
      </w:r>
    </w:p>
    <w:p>
      <w:pPr>
        <w:spacing w:line="600" w:lineRule="exact"/>
        <w:rPr>
          <w:rFonts w:ascii="黑体" w:hAnsi="黑体" w:eastAsia="黑体" w:cs="黑体"/>
          <w:bCs/>
          <w:sz w:val="30"/>
          <w:szCs w:val="30"/>
        </w:rPr>
      </w:pPr>
      <w:r>
        <w:rPr>
          <w:rFonts w:hint="eastAsia" w:ascii="黑体" w:hAnsi="黑体" w:eastAsia="黑体" w:cs="黑体"/>
          <w:bCs/>
          <w:sz w:val="30"/>
          <w:szCs w:val="30"/>
        </w:rPr>
        <w:t>法人代表（授权代表）：</w:t>
      </w:r>
    </w:p>
    <w:p>
      <w:pPr>
        <w:spacing w:line="600" w:lineRule="exact"/>
        <w:rPr>
          <w:rFonts w:ascii="黑体" w:hAnsi="黑体" w:eastAsia="黑体" w:cs="黑体"/>
          <w:bCs/>
          <w:sz w:val="30"/>
          <w:szCs w:val="30"/>
        </w:rPr>
      </w:pPr>
      <w:r>
        <w:rPr>
          <w:rFonts w:ascii="黑体" w:hAnsi="黑体" w:eastAsia="黑体" w:cs="黑体"/>
          <w:bCs/>
          <w:sz w:val="30"/>
          <w:szCs w:val="30"/>
        </w:rPr>
        <w:t xml:space="preserve"> </w:t>
      </w:r>
    </w:p>
    <w:p>
      <w:pPr>
        <w:spacing w:line="600" w:lineRule="exact"/>
        <w:rPr>
          <w:rFonts w:ascii="黑体" w:hAnsi="黑体" w:eastAsia="黑体" w:cs="黑体"/>
          <w:bCs/>
          <w:sz w:val="30"/>
          <w:szCs w:val="30"/>
        </w:rPr>
      </w:pPr>
      <w:r>
        <w:rPr>
          <w:rFonts w:hint="eastAsia" w:ascii="黑体" w:hAnsi="黑体" w:eastAsia="黑体" w:cs="黑体"/>
          <w:bCs/>
          <w:sz w:val="30"/>
          <w:szCs w:val="30"/>
        </w:rPr>
        <w:t>受托人（以下简称乙方）：武汉股权托管交易中心有限公司</w:t>
      </w:r>
    </w:p>
    <w:p>
      <w:pPr>
        <w:spacing w:line="600" w:lineRule="exact"/>
        <w:rPr>
          <w:rFonts w:ascii="黑体" w:hAnsi="黑体" w:eastAsia="黑体" w:cs="黑体"/>
          <w:bCs/>
          <w:sz w:val="30"/>
          <w:szCs w:val="30"/>
        </w:rPr>
      </w:pPr>
      <w:r>
        <w:rPr>
          <w:rFonts w:hint="eastAsia" w:ascii="黑体" w:hAnsi="黑体" w:eastAsia="黑体" w:cs="黑体"/>
          <w:bCs/>
          <w:sz w:val="30"/>
          <w:szCs w:val="30"/>
        </w:rPr>
        <w:t>实际经营地：</w:t>
      </w:r>
    </w:p>
    <w:p>
      <w:pPr>
        <w:spacing w:line="600" w:lineRule="exact"/>
        <w:rPr>
          <w:rFonts w:ascii="黑体" w:hAnsi="黑体" w:eastAsia="黑体" w:cs="黑体"/>
          <w:bCs/>
          <w:sz w:val="30"/>
          <w:szCs w:val="30"/>
        </w:rPr>
      </w:pPr>
      <w:r>
        <w:rPr>
          <w:rFonts w:hint="eastAsia" w:ascii="黑体" w:hAnsi="黑体" w:eastAsia="黑体" w:cs="黑体"/>
          <w:bCs/>
          <w:sz w:val="30"/>
          <w:szCs w:val="30"/>
        </w:rPr>
        <w:t>法人代表（授权代表）：</w:t>
      </w:r>
    </w:p>
    <w:p>
      <w:pPr>
        <w:spacing w:line="360" w:lineRule="auto"/>
        <w:ind w:firstLine="640" w:firstLineChars="200"/>
        <w:jc w:val="left"/>
        <w:rPr>
          <w:rFonts w:ascii="仿宋" w:hAnsi="仿宋" w:eastAsia="仿宋" w:cs="仿宋"/>
          <w:sz w:val="32"/>
          <w:szCs w:val="40"/>
        </w:rPr>
      </w:pP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根据《中华人民共和国合同法》《中华人民共和国公司法》和产权交易相关法律法规，经双方协商，甲乙双方签订本协议，以共同遵守。</w:t>
      </w:r>
    </w:p>
    <w:p>
      <w:pPr>
        <w:pStyle w:val="15"/>
        <w:numPr>
          <w:ilvl w:val="0"/>
          <w:numId w:val="1"/>
        </w:numPr>
        <w:spacing w:line="360" w:lineRule="auto"/>
        <w:ind w:hanging="1060" w:firstLineChars="0"/>
        <w:jc w:val="center"/>
        <w:rPr>
          <w:rFonts w:ascii="黑体" w:hAnsi="黑体" w:eastAsia="黑体" w:cs="仿宋"/>
          <w:sz w:val="32"/>
          <w:szCs w:val="40"/>
        </w:rPr>
      </w:pPr>
      <w:r>
        <w:rPr>
          <w:rFonts w:hint="eastAsia" w:ascii="黑体" w:hAnsi="黑体" w:eastAsia="黑体" w:cs="仿宋"/>
          <w:sz w:val="32"/>
          <w:szCs w:val="40"/>
        </w:rPr>
        <w:t>总则</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甲方委托乙方对甲方签发的出资凭证及股东名册进行托管。  </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出资凭证托管实行托管申请人申报制，中心对申请人提供的托管申请材料进行形式审核，申请人应当保证其所提供的登记申请材料真实、准确、完整。</w:t>
      </w:r>
    </w:p>
    <w:p>
      <w:pPr>
        <w:pStyle w:val="15"/>
        <w:numPr>
          <w:ilvl w:val="0"/>
          <w:numId w:val="1"/>
        </w:numPr>
        <w:spacing w:line="360" w:lineRule="auto"/>
        <w:ind w:hanging="1060" w:firstLineChars="0"/>
        <w:jc w:val="center"/>
        <w:rPr>
          <w:rFonts w:ascii="黑体" w:hAnsi="黑体" w:eastAsia="黑体" w:cs="仿宋"/>
          <w:sz w:val="32"/>
          <w:szCs w:val="40"/>
        </w:rPr>
      </w:pPr>
      <w:r>
        <w:rPr>
          <w:rFonts w:hint="eastAsia" w:ascii="黑体" w:hAnsi="黑体" w:eastAsia="黑体" w:cs="仿宋"/>
          <w:sz w:val="32"/>
          <w:szCs w:val="40"/>
        </w:rPr>
        <w:t>双方权利与义务</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办理托管时甲方应向乙方提供以下文件资料：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1、有限责任公司股权托管申请书（加盖公章）；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2、工商登记信息查询单（最近一次经工商局备案的股东构成证明材料）；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3、公司的营业执照复印件、法定代表人及经办人身份证复印件（加盖公章）；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4、公司章程盖章原件；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5、公司基本信息登记表（加盖公章）；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6、出具由公司全体出资人一致同意的、将出资凭证和股东名册托管至乙方的相关决议，决议应载有下列内容：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公司签发的出资凭证统一托管至乙方；公司置备的股东名册托管至乙方。</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7、乙方要求的其他材料。 </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甲方就增加或减少注册资本、合并、分立、解散，改变股东结构，变更公司名称、组织形式、住所地，变更董事、监事、高级管理人员等方面做出的任何决议与工商变更，应当自决议做出或进行工商变更之日起5个工作日内书面告知乙方，乙方收到上述事项告知书（需先期到工商登记机关进行办理的事项，还应执工商登记机关办理相应业务的证明单到乙方）并出具确认函后方对托管事项进行相应调整，否则由此造成的损失及纠纷由甲方自行承担，乙方不承担任何责任。</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乙方根据甲方提供的托管资料，开立股东托管账户，制作出资凭证托管名册，打印一式两份，双方核签，作为托管登记凭证。 </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甲乙双方一致确认，乙方制作的出资凭证托管名册是甲方股权登记状况的有效证明。除非有相反的有效证据，甲方自备的股东名册不得对抗在乙方托管的出资凭证托管名册。</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甲方应按时足额支付乙方托管管理费用，乙方应按甲方要求开具合法有效发票。</w:t>
      </w:r>
    </w:p>
    <w:p>
      <w:pPr>
        <w:pStyle w:val="15"/>
        <w:numPr>
          <w:ilvl w:val="0"/>
          <w:numId w:val="1"/>
        </w:numPr>
        <w:spacing w:line="360" w:lineRule="auto"/>
        <w:ind w:hanging="1060" w:firstLineChars="0"/>
        <w:jc w:val="center"/>
        <w:rPr>
          <w:rFonts w:ascii="黑体" w:hAnsi="黑体" w:eastAsia="黑体" w:cs="仿宋"/>
          <w:sz w:val="32"/>
          <w:szCs w:val="40"/>
        </w:rPr>
      </w:pPr>
      <w:r>
        <w:rPr>
          <w:rFonts w:hint="eastAsia" w:ascii="黑体" w:hAnsi="黑体" w:eastAsia="黑体" w:cs="仿宋"/>
          <w:sz w:val="32"/>
          <w:szCs w:val="40"/>
        </w:rPr>
        <w:t>费用及支付方式</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股权托管服务费</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1、甲方注册资本为</w:t>
      </w:r>
      <w:r>
        <w:rPr>
          <w:rFonts w:hint="eastAsia" w:ascii="仿宋_GB2312" w:hAnsi="仿宋_GB2312" w:eastAsia="仿宋_GB2312" w:cs="仿宋_GB2312"/>
          <w:sz w:val="32"/>
          <w:szCs w:val="40"/>
          <w:u w:val="single"/>
        </w:rPr>
        <w:t xml:space="preserve">           </w:t>
      </w:r>
      <w:r>
        <w:rPr>
          <w:rFonts w:hint="eastAsia" w:ascii="仿宋_GB2312" w:hAnsi="仿宋_GB2312" w:eastAsia="仿宋_GB2312" w:cs="仿宋_GB2312"/>
          <w:sz w:val="32"/>
          <w:szCs w:val="40"/>
        </w:rPr>
        <w:t>万元，此次办理托管的实缴出资额为</w:t>
      </w:r>
      <w:r>
        <w:rPr>
          <w:rFonts w:hint="eastAsia" w:ascii="仿宋_GB2312" w:hAnsi="仿宋_GB2312" w:eastAsia="仿宋_GB2312" w:cs="仿宋_GB2312"/>
          <w:sz w:val="32"/>
          <w:szCs w:val="40"/>
          <w:u w:val="single"/>
        </w:rPr>
        <w:t xml:space="preserve">         </w:t>
      </w:r>
      <w:r>
        <w:rPr>
          <w:rFonts w:hint="eastAsia" w:ascii="仿宋_GB2312" w:hAnsi="仿宋_GB2312" w:eastAsia="仿宋_GB2312" w:cs="仿宋_GB2312"/>
          <w:sz w:val="32"/>
          <w:szCs w:val="40"/>
        </w:rPr>
        <w:t>万元，未实缴出资将按甲方公司章程的规定履行出资义务，乙方收取</w:t>
      </w:r>
      <w:r>
        <w:rPr>
          <w:rFonts w:hint="eastAsia" w:ascii="仿宋_GB2312" w:hAnsi="仿宋_GB2312" w:eastAsia="仿宋_GB2312" w:cs="仿宋_GB2312"/>
          <w:sz w:val="32"/>
          <w:szCs w:val="40"/>
          <w:lang w:eastAsia="zh-CN"/>
        </w:rPr>
        <w:t>甲方</w:t>
      </w:r>
      <w:r>
        <w:rPr>
          <w:rFonts w:hint="eastAsia" w:ascii="仿宋_GB2312" w:hAnsi="仿宋_GB2312" w:eastAsia="仿宋_GB2312" w:cs="仿宋_GB2312"/>
          <w:sz w:val="32"/>
          <w:szCs w:val="40"/>
        </w:rPr>
        <w:t>股权</w:t>
      </w:r>
      <w:r>
        <w:rPr>
          <w:rFonts w:hint="eastAsia" w:ascii="仿宋_GB2312" w:hAnsi="仿宋_GB2312" w:eastAsia="仿宋_GB2312" w:cs="仿宋_GB2312"/>
          <w:sz w:val="32"/>
          <w:szCs w:val="40"/>
          <w:lang w:eastAsia="zh-CN"/>
        </w:rPr>
        <w:t>登记</w:t>
      </w:r>
      <w:r>
        <w:rPr>
          <w:rFonts w:hint="eastAsia" w:ascii="仿宋_GB2312" w:hAnsi="仿宋_GB2312" w:eastAsia="仿宋_GB2312" w:cs="仿宋_GB2312"/>
          <w:sz w:val="32"/>
          <w:szCs w:val="40"/>
        </w:rPr>
        <w:t>托管费</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40"/>
        </w:rPr>
        <w:t xml:space="preserve">。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2、甲方个人股东开户费20元/户，法人股东开户费300元/户。</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3、股权转让过户、质押登记、增资等相关服务的收费由甲乙双方另行约定。 </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支付方式</w:t>
      </w:r>
    </w:p>
    <w:p>
      <w:pPr>
        <w:spacing w:line="360" w:lineRule="auto"/>
        <w:ind w:left="210" w:leftChars="100" w:firstLine="320" w:firstLineChars="1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1、 </w:t>
      </w:r>
      <w:r>
        <w:rPr>
          <w:rFonts w:hint="eastAsia" w:ascii="仿宋_GB2312" w:hAnsi="仿宋_GB2312" w:eastAsia="仿宋_GB2312" w:cs="仿宋_GB2312"/>
          <w:sz w:val="32"/>
          <w:szCs w:val="40"/>
          <w:lang w:eastAsia="zh-CN"/>
        </w:rPr>
        <w:t>登记</w:t>
      </w:r>
      <w:r>
        <w:rPr>
          <w:rFonts w:hint="eastAsia" w:ascii="仿宋_GB2312" w:hAnsi="仿宋_GB2312" w:eastAsia="仿宋_GB2312" w:cs="仿宋_GB2312"/>
          <w:sz w:val="32"/>
          <w:szCs w:val="40"/>
        </w:rPr>
        <w:t>托管费在签订本协议后的三个工作日内由甲方支付给乙方。</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2、支付账户。甲方按照约定将相应应付费用和报酬支付至乙方指定的银行账户，乙方指定的银行账户是：</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收款人： 武汉股权托管交易中心有限公司</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帐  号： 421867018018800004277</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开户行：交通银行东湖新技术开发区支行</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本合同款项只能汇入以上帐户，甲方不得汇入个人或未经乙方书面签章确认的其他帐户。否则由此产生的损失概由甲方自行承担。</w:t>
      </w:r>
    </w:p>
    <w:p>
      <w:pPr>
        <w:pStyle w:val="15"/>
        <w:numPr>
          <w:ilvl w:val="0"/>
          <w:numId w:val="1"/>
        </w:numPr>
        <w:spacing w:line="360" w:lineRule="auto"/>
        <w:ind w:hanging="1060" w:firstLineChars="0"/>
        <w:jc w:val="center"/>
        <w:rPr>
          <w:rFonts w:ascii="黑体" w:hAnsi="黑体" w:eastAsia="黑体" w:cs="仿宋"/>
          <w:sz w:val="32"/>
          <w:szCs w:val="40"/>
        </w:rPr>
      </w:pPr>
      <w:r>
        <w:rPr>
          <w:rFonts w:hint="eastAsia" w:ascii="黑体" w:hAnsi="黑体" w:eastAsia="黑体" w:cs="仿宋"/>
          <w:sz w:val="32"/>
          <w:szCs w:val="40"/>
        </w:rPr>
        <w:t>协议的解除及终止</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经双方协商，可解除本协议，但甲方必须提供相关材料并符合下列条件：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1、甲方提出解除托管的申请文件（加盖公章）；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2、甲方全体股东同意解除托管的有效决议； </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3、不存在发生质押登记未完结或司法冻结未解除等情况。 </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甲方存在如下情形之一的，乙方有权暂停或终止本协议约定的部分或全部服务内容：</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1、因对外发行或转让股权导致直接或间接持有股权的股东累计超过200人；</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2、向乙方提供虚假文件、证件及相关附件等证明材料；</w:t>
      </w:r>
    </w:p>
    <w:p>
      <w:pPr>
        <w:spacing w:line="360" w:lineRule="auto"/>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3、未按约定向乙方申请办理股权变更及其他相关手续，导致乙方登记的股权持有人名册与甲方自备的股东名册及法定公司登记机关数据不一致，经甲方发现后乙方拒不补正的； </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4、未按约定向乙方支付相关费用，经乙方催告后仍不支付的；</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5、企业主体不存在，如依《公司法》规定公司被合并（原托管公司注销）、分立（原托管公司注销）或解散的；</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6、有违反相关法律法规、规章和乙方业务规则的其他行为。</w:t>
      </w:r>
    </w:p>
    <w:p>
      <w:pPr>
        <w:pStyle w:val="15"/>
        <w:numPr>
          <w:ilvl w:val="0"/>
          <w:numId w:val="1"/>
        </w:numPr>
        <w:spacing w:line="360" w:lineRule="auto"/>
        <w:ind w:hanging="1060" w:firstLineChars="0"/>
        <w:jc w:val="center"/>
        <w:rPr>
          <w:rFonts w:ascii="黑体" w:hAnsi="黑体" w:eastAsia="黑体" w:cs="仿宋"/>
          <w:sz w:val="32"/>
          <w:szCs w:val="40"/>
        </w:rPr>
      </w:pPr>
      <w:r>
        <w:rPr>
          <w:rFonts w:hint="eastAsia" w:ascii="黑体" w:hAnsi="黑体" w:eastAsia="黑体" w:cs="仿宋"/>
          <w:sz w:val="32"/>
          <w:szCs w:val="40"/>
        </w:rPr>
        <w:t>保密条款</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无论本合同是否成立、在本合同有效期间乃至本合同终止以后，甲方和乙方都应对本合同的内容，以及所获知的对方业务或技术上的所有非公开信息保守秘密，不得向第三人（除聘请律师、会计师外）公开、泄漏，也不得为履行本合同以外之目的加以使用。</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依据有关法律向国家行政机关或为处理本协议产生的纠纷或事先征得对方书面同意而提供本合同的内容除外。</w:t>
      </w:r>
    </w:p>
    <w:p>
      <w:pPr>
        <w:pStyle w:val="15"/>
        <w:numPr>
          <w:ilvl w:val="0"/>
          <w:numId w:val="1"/>
        </w:numPr>
        <w:spacing w:line="360" w:lineRule="auto"/>
        <w:ind w:hanging="1060" w:firstLineChars="0"/>
        <w:jc w:val="center"/>
        <w:rPr>
          <w:rFonts w:ascii="黑体" w:hAnsi="黑体" w:eastAsia="黑体" w:cs="仿宋"/>
          <w:sz w:val="32"/>
          <w:szCs w:val="40"/>
        </w:rPr>
      </w:pPr>
      <w:r>
        <w:rPr>
          <w:rFonts w:hint="eastAsia" w:ascii="黑体" w:hAnsi="黑体" w:eastAsia="黑体" w:cs="仿宋"/>
          <w:sz w:val="32"/>
          <w:szCs w:val="40"/>
        </w:rPr>
        <w:t>不可抗力</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本合同下的不可抗力事件是指不能预见、不能避免并不能克服的客观情况。包括但不限于自然灾害（如地震、台风、洪水、火山爆发等）、乙方系统设备故障、上级主管部门要求、政策法规等。</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当发生不可抗力时受影响的一方应及时书面通知对方，乙方可通过公告的方式向甲方履行通知义务。</w:t>
      </w:r>
    </w:p>
    <w:p>
      <w:pPr>
        <w:spacing w:line="360" w:lineRule="auto"/>
        <w:ind w:firstLine="640" w:firstLineChars="200"/>
        <w:jc w:val="center"/>
        <w:rPr>
          <w:rFonts w:ascii="仿宋" w:hAnsi="仿宋" w:eastAsia="仿宋" w:cs="仿宋"/>
          <w:sz w:val="32"/>
          <w:szCs w:val="32"/>
        </w:rPr>
      </w:pPr>
    </w:p>
    <w:p>
      <w:pPr>
        <w:pStyle w:val="15"/>
        <w:numPr>
          <w:ilvl w:val="0"/>
          <w:numId w:val="1"/>
        </w:numPr>
        <w:spacing w:line="360" w:lineRule="auto"/>
        <w:ind w:hanging="1060" w:firstLineChars="0"/>
        <w:jc w:val="center"/>
        <w:rPr>
          <w:rFonts w:ascii="黑体" w:hAnsi="黑体" w:eastAsia="黑体" w:cs="仿宋"/>
          <w:sz w:val="32"/>
          <w:szCs w:val="40"/>
        </w:rPr>
      </w:pPr>
      <w:r>
        <w:rPr>
          <w:rFonts w:hint="eastAsia" w:ascii="黑体" w:hAnsi="黑体" w:eastAsia="黑体" w:cs="仿宋"/>
          <w:sz w:val="32"/>
          <w:szCs w:val="40"/>
        </w:rPr>
        <w:t>违约及法律责任</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甲方未按期支付相关费用的，乙方有权中止服务，直至甲方全额支付相关费用和逾期支付期间的违约金。服务中止期间，乙方暂停对甲方服务，甲方应对由此产生的损失自行承担责任。甲方逾期支付超过30天的，乙方有权提前解除本协议，终止服务，不退还已收取费用。</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甲乙双方应严格按照本协议之约定履行各自义务，一旦发生违约，由违约一方向另一方赔偿全部损失并承担法律责任</w:t>
      </w:r>
      <w:r>
        <w:rPr>
          <w:rFonts w:hint="eastAsia" w:ascii="仿宋_GB2312" w:hAnsi="仿宋_GB2312" w:eastAsia="仿宋_GB2312" w:cs="仿宋_GB2312"/>
          <w:sz w:val="32"/>
          <w:szCs w:val="40"/>
          <w:lang w:eastAsia="zh-CN"/>
        </w:rPr>
        <w:t>。</w:t>
      </w:r>
    </w:p>
    <w:p>
      <w:pPr>
        <w:pStyle w:val="15"/>
        <w:numPr>
          <w:ilvl w:val="0"/>
          <w:numId w:val="1"/>
        </w:numPr>
        <w:spacing w:line="360" w:lineRule="auto"/>
        <w:ind w:hanging="1060" w:firstLineChars="0"/>
        <w:jc w:val="center"/>
        <w:rPr>
          <w:rFonts w:ascii="黑体" w:hAnsi="黑体" w:eastAsia="黑体" w:cs="仿宋"/>
          <w:sz w:val="32"/>
          <w:szCs w:val="40"/>
        </w:rPr>
      </w:pPr>
      <w:r>
        <w:rPr>
          <w:rFonts w:hint="eastAsia" w:ascii="黑体" w:hAnsi="黑体" w:eastAsia="黑体" w:cs="仿宋"/>
          <w:sz w:val="32"/>
          <w:szCs w:val="40"/>
        </w:rPr>
        <w:t>争议的解决方式</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甲、乙双方在履行本合同过程中若发生争议，可协商解决；协商不成，任一方均可向乙方住所地有管辖权的人民法院提起诉讼。其他不存在争议的条款仍应当继续履行。</w:t>
      </w:r>
    </w:p>
    <w:p>
      <w:pPr>
        <w:pStyle w:val="15"/>
        <w:numPr>
          <w:ilvl w:val="0"/>
          <w:numId w:val="1"/>
        </w:numPr>
        <w:spacing w:line="360" w:lineRule="auto"/>
        <w:ind w:hanging="1060" w:firstLineChars="0"/>
        <w:jc w:val="center"/>
        <w:rPr>
          <w:rFonts w:ascii="黑体" w:hAnsi="黑体" w:eastAsia="黑体" w:cs="仿宋"/>
          <w:sz w:val="32"/>
          <w:szCs w:val="40"/>
        </w:rPr>
      </w:pPr>
      <w:r>
        <w:rPr>
          <w:rFonts w:ascii="黑体" w:hAnsi="黑体" w:eastAsia="黑体" w:cs="仿宋"/>
          <w:sz w:val="32"/>
          <w:szCs w:val="40"/>
        </w:rPr>
        <w:t>合同的生效及其他</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本合同经甲、乙双方签字、加盖公章或合同专用章后生效，需在签字盖章页及骑缝处同时盖章。</w:t>
      </w:r>
    </w:p>
    <w:p>
      <w:pPr>
        <w:pStyle w:val="15"/>
        <w:numPr>
          <w:ilvl w:val="0"/>
          <w:numId w:val="2"/>
        </w:numPr>
        <w:tabs>
          <w:tab w:val="left" w:pos="1701"/>
        </w:tabs>
        <w:spacing w:line="360" w:lineRule="auto"/>
        <w:ind w:left="0" w:firstLine="640" w:firstLineChars="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本合同一式贰份，甲、乙双方各执</w:t>
      </w:r>
      <w:r>
        <w:rPr>
          <w:rFonts w:hint="eastAsia" w:ascii="仿宋_GB2312" w:hAnsi="仿宋_GB2312" w:eastAsia="仿宋_GB2312" w:cs="仿宋_GB2312"/>
          <w:sz w:val="32"/>
          <w:szCs w:val="40"/>
          <w:lang w:eastAsia="zh-CN"/>
        </w:rPr>
        <w:t>壹</w:t>
      </w:r>
      <w:r>
        <w:rPr>
          <w:rFonts w:hint="eastAsia" w:ascii="仿宋_GB2312" w:hAnsi="仿宋_GB2312" w:eastAsia="仿宋_GB2312" w:cs="仿宋_GB2312"/>
          <w:sz w:val="32"/>
          <w:szCs w:val="40"/>
        </w:rPr>
        <w:t>份，均具有同等法律效力。</w:t>
      </w:r>
    </w:p>
    <w:p>
      <w:pPr>
        <w:pStyle w:val="15"/>
        <w:numPr>
          <w:ilvl w:val="0"/>
          <w:numId w:val="2"/>
        </w:numPr>
        <w:tabs>
          <w:tab w:val="left" w:pos="2410"/>
        </w:tabs>
        <w:spacing w:line="360" w:lineRule="auto"/>
        <w:ind w:left="0" w:firstLine="640" w:firstLineChars="0"/>
        <w:jc w:val="left"/>
        <w:rPr>
          <w:rFonts w:ascii="仿宋" w:hAnsi="仿宋" w:eastAsia="仿宋" w:cs="仿宋"/>
          <w:sz w:val="32"/>
          <w:szCs w:val="40"/>
        </w:rPr>
      </w:pPr>
      <w:r>
        <w:rPr>
          <w:rFonts w:hint="eastAsia" w:ascii="仿宋_GB2312" w:hAnsi="仿宋_GB2312" w:eastAsia="仿宋_GB2312" w:cs="仿宋_GB2312"/>
          <w:sz w:val="32"/>
          <w:szCs w:val="40"/>
        </w:rPr>
        <w:t>如乙方对现有业务规则进行修订或补充相关业务规则，生效的修订或补充业务规则自生效之日起即构成本协议的组成部分与本协议具有同等的法律约束力，甲方应予认可并遵守。</w:t>
      </w:r>
    </w:p>
    <w:p>
      <w:pPr>
        <w:widowControl/>
        <w:jc w:val="left"/>
        <w:rPr>
          <w:rFonts w:ascii="仿宋" w:hAnsi="仿宋" w:eastAsia="仿宋" w:cs="仿宋"/>
          <w:sz w:val="32"/>
          <w:szCs w:val="40"/>
        </w:rPr>
      </w:pPr>
      <w:r>
        <w:rPr>
          <w:rFonts w:ascii="仿宋" w:hAnsi="仿宋" w:eastAsia="仿宋" w:cs="仿宋"/>
          <w:sz w:val="32"/>
          <w:szCs w:val="40"/>
        </w:rPr>
        <w:br w:type="page"/>
      </w:r>
    </w:p>
    <w:p>
      <w:pPr>
        <w:spacing w:line="360" w:lineRule="auto"/>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（本页无正文，为签字盖章页）</w:t>
      </w:r>
    </w:p>
    <w:p>
      <w:pPr>
        <w:spacing w:line="360" w:lineRule="auto"/>
        <w:jc w:val="left"/>
        <w:rPr>
          <w:rFonts w:hint="eastAsia" w:ascii="仿宋_GB2312" w:hAnsi="仿宋_GB2312" w:eastAsia="仿宋_GB2312" w:cs="仿宋_GB2312"/>
          <w:sz w:val="32"/>
          <w:szCs w:val="40"/>
        </w:rPr>
      </w:pPr>
    </w:p>
    <w:p>
      <w:pPr>
        <w:spacing w:line="360" w:lineRule="auto"/>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委托人（甲方盖章）：</w:t>
      </w:r>
    </w:p>
    <w:p>
      <w:pPr>
        <w:spacing w:line="360" w:lineRule="auto"/>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代表签字：</w:t>
      </w:r>
    </w:p>
    <w:p>
      <w:pPr>
        <w:spacing w:line="360" w:lineRule="auto"/>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日期：   年  月  日</w:t>
      </w:r>
    </w:p>
    <w:p>
      <w:pPr>
        <w:spacing w:line="360" w:lineRule="auto"/>
        <w:jc w:val="left"/>
        <w:rPr>
          <w:rFonts w:hint="eastAsia" w:ascii="仿宋_GB2312" w:hAnsi="仿宋_GB2312" w:eastAsia="仿宋_GB2312" w:cs="仿宋_GB2312"/>
          <w:sz w:val="32"/>
          <w:szCs w:val="40"/>
        </w:rPr>
      </w:pPr>
    </w:p>
    <w:p>
      <w:pPr>
        <w:spacing w:line="360" w:lineRule="auto"/>
        <w:jc w:val="left"/>
        <w:rPr>
          <w:rFonts w:hint="eastAsia" w:ascii="仿宋_GB2312" w:hAnsi="仿宋_GB2312" w:eastAsia="仿宋_GB2312" w:cs="仿宋_GB2312"/>
          <w:sz w:val="32"/>
          <w:szCs w:val="40"/>
        </w:rPr>
      </w:pPr>
    </w:p>
    <w:p>
      <w:pPr>
        <w:spacing w:line="360" w:lineRule="auto"/>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受托人（乙方盖章）：武汉股权托管交易中心有限公司</w:t>
      </w:r>
    </w:p>
    <w:p>
      <w:pPr>
        <w:spacing w:line="360" w:lineRule="auto"/>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代表签字： </w:t>
      </w:r>
    </w:p>
    <w:p>
      <w:pPr>
        <w:spacing w:line="360" w:lineRule="auto"/>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日期：   年  月  日</w:t>
      </w:r>
      <w:bookmarkStart w:id="0" w:name="_GoBack"/>
      <w:bookmarkEnd w:id="0"/>
    </w:p>
    <w:p>
      <w:pPr>
        <w:spacing w:line="360" w:lineRule="auto"/>
        <w:rPr>
          <w:rFonts w:ascii="仿宋" w:hAnsi="仿宋" w:eastAsia="仿宋" w:cs="仿宋"/>
          <w:sz w:val="32"/>
          <w:szCs w:val="40"/>
        </w:rPr>
      </w:pPr>
    </w:p>
    <w:p>
      <w:pPr>
        <w:spacing w:line="360" w:lineRule="auto"/>
        <w:rPr>
          <w:rFonts w:ascii="仿宋" w:hAnsi="仿宋" w:eastAsia="仿宋" w:cs="仿宋"/>
          <w:sz w:val="32"/>
          <w:szCs w:val="40"/>
        </w:rPr>
      </w:pPr>
    </w:p>
    <w:p>
      <w:pPr>
        <w:pStyle w:val="6"/>
        <w:widowControl/>
        <w:shd w:val="clear" w:color="auto" w:fill="FFFFFF"/>
        <w:spacing w:before="300" w:beforeAutospacing="0" w:after="0" w:afterAutospacing="0" w:line="450" w:lineRule="atLeast"/>
        <w:rPr>
          <w:rFonts w:ascii="仿宋" w:hAnsi="仿宋" w:eastAsia="仿宋"/>
          <w:sz w:val="32"/>
          <w:szCs w:val="32"/>
        </w:rPr>
      </w:pPr>
    </w:p>
    <w:sectPr>
      <w:pgSz w:w="11906" w:h="16838"/>
      <w:pgMar w:top="1135"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 w:name="方正小标宋简体">
    <w:panose1 w:val="02010601030101010101"/>
    <w:charset w:val="86"/>
    <w:family w:val="script"/>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6E117C"/>
    <w:multiLevelType w:val="multilevel"/>
    <w:tmpl w:val="6F6E117C"/>
    <w:lvl w:ilvl="0" w:tentative="0">
      <w:start w:val="1"/>
      <w:numFmt w:val="chineseCountingThousand"/>
      <w:lvlText w:val="第%1章 "/>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7A0D2AAF"/>
    <w:multiLevelType w:val="multilevel"/>
    <w:tmpl w:val="7A0D2AAF"/>
    <w:lvl w:ilvl="0" w:tentative="0">
      <w:start w:val="1"/>
      <w:numFmt w:val="chineseCountingThousand"/>
      <w:lvlText w:val="第%1条"/>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065"/>
    <w:rsid w:val="00012443"/>
    <w:rsid w:val="0002090C"/>
    <w:rsid w:val="00033AB3"/>
    <w:rsid w:val="00042F02"/>
    <w:rsid w:val="00071009"/>
    <w:rsid w:val="000B2065"/>
    <w:rsid w:val="00187706"/>
    <w:rsid w:val="001A52CF"/>
    <w:rsid w:val="001E67D3"/>
    <w:rsid w:val="002B1F69"/>
    <w:rsid w:val="00343BAE"/>
    <w:rsid w:val="003878B8"/>
    <w:rsid w:val="00391B82"/>
    <w:rsid w:val="003B2A80"/>
    <w:rsid w:val="003E114D"/>
    <w:rsid w:val="004B6D10"/>
    <w:rsid w:val="004F476B"/>
    <w:rsid w:val="0053571E"/>
    <w:rsid w:val="0060312A"/>
    <w:rsid w:val="00605568"/>
    <w:rsid w:val="00615B56"/>
    <w:rsid w:val="006218C4"/>
    <w:rsid w:val="006A5CA6"/>
    <w:rsid w:val="006A6F90"/>
    <w:rsid w:val="006D52C4"/>
    <w:rsid w:val="0071567B"/>
    <w:rsid w:val="00731CFF"/>
    <w:rsid w:val="00755F36"/>
    <w:rsid w:val="00766ADC"/>
    <w:rsid w:val="00773F75"/>
    <w:rsid w:val="00774441"/>
    <w:rsid w:val="007D65AB"/>
    <w:rsid w:val="00811A07"/>
    <w:rsid w:val="00823824"/>
    <w:rsid w:val="00852616"/>
    <w:rsid w:val="00861FB1"/>
    <w:rsid w:val="008A4C58"/>
    <w:rsid w:val="008B60C8"/>
    <w:rsid w:val="00911010"/>
    <w:rsid w:val="00934154"/>
    <w:rsid w:val="00967170"/>
    <w:rsid w:val="0099165D"/>
    <w:rsid w:val="00995925"/>
    <w:rsid w:val="009B6738"/>
    <w:rsid w:val="009F18A5"/>
    <w:rsid w:val="009F1F79"/>
    <w:rsid w:val="00A130AC"/>
    <w:rsid w:val="00A53046"/>
    <w:rsid w:val="00A72BF1"/>
    <w:rsid w:val="00A92AD5"/>
    <w:rsid w:val="00AA3BA6"/>
    <w:rsid w:val="00AA5CFA"/>
    <w:rsid w:val="00AB0E67"/>
    <w:rsid w:val="00AD42F8"/>
    <w:rsid w:val="00B43609"/>
    <w:rsid w:val="00B47E48"/>
    <w:rsid w:val="00BA231B"/>
    <w:rsid w:val="00C71220"/>
    <w:rsid w:val="00C90598"/>
    <w:rsid w:val="00C96258"/>
    <w:rsid w:val="00C97CB3"/>
    <w:rsid w:val="00CB7581"/>
    <w:rsid w:val="00CE25CB"/>
    <w:rsid w:val="00D13762"/>
    <w:rsid w:val="00D400B2"/>
    <w:rsid w:val="00D41582"/>
    <w:rsid w:val="00DF3D1C"/>
    <w:rsid w:val="00E02876"/>
    <w:rsid w:val="00E26269"/>
    <w:rsid w:val="00E412DD"/>
    <w:rsid w:val="00EB0A31"/>
    <w:rsid w:val="00EB6E8C"/>
    <w:rsid w:val="00EE4D76"/>
    <w:rsid w:val="00F13D65"/>
    <w:rsid w:val="00F35C1A"/>
    <w:rsid w:val="00F46D5E"/>
    <w:rsid w:val="00F65E41"/>
    <w:rsid w:val="00F8453D"/>
    <w:rsid w:val="00FA1FC8"/>
    <w:rsid w:val="00FD7283"/>
    <w:rsid w:val="67D62A55"/>
    <w:rsid w:val="68256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6"/>
    <w:qFormat/>
    <w:uiPriority w:val="0"/>
    <w:pPr>
      <w:jc w:val="left"/>
    </w:pPr>
    <w:rPr>
      <w:rFonts w:ascii="Calibri" w:hAnsi="Calibri" w:eastAsia="宋体" w:cs="Times New Roman"/>
      <w:szCs w:val="24"/>
    </w:r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paragraph" w:styleId="7">
    <w:name w:val="annotation subject"/>
    <w:basedOn w:val="2"/>
    <w:next w:val="2"/>
    <w:link w:val="17"/>
    <w:semiHidden/>
    <w:unhideWhenUsed/>
    <w:uiPriority w:val="99"/>
    <w:rPr>
      <w:rFonts w:asciiTheme="minorHAnsi" w:hAnsiTheme="minorHAnsi" w:eastAsiaTheme="minorEastAsia" w:cstheme="minorBidi"/>
      <w:b/>
      <w:bCs/>
      <w:szCs w:val="22"/>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annotation reference"/>
    <w:basedOn w:val="10"/>
    <w:qFormat/>
    <w:uiPriority w:val="0"/>
    <w:rPr>
      <w:sz w:val="21"/>
      <w:szCs w:val="21"/>
    </w:rPr>
  </w:style>
  <w:style w:type="character" w:customStyle="1" w:styleId="12">
    <w:name w:val="页眉 Char"/>
    <w:basedOn w:val="10"/>
    <w:link w:val="5"/>
    <w:uiPriority w:val="99"/>
    <w:rPr>
      <w:sz w:val="18"/>
      <w:szCs w:val="18"/>
    </w:rPr>
  </w:style>
  <w:style w:type="character" w:customStyle="1" w:styleId="13">
    <w:name w:val="页脚 Char"/>
    <w:basedOn w:val="10"/>
    <w:link w:val="4"/>
    <w:uiPriority w:val="99"/>
    <w:rPr>
      <w:sz w:val="18"/>
      <w:szCs w:val="18"/>
    </w:rPr>
  </w:style>
  <w:style w:type="character" w:customStyle="1" w:styleId="14">
    <w:name w:val="批注框文本 Char"/>
    <w:basedOn w:val="10"/>
    <w:link w:val="3"/>
    <w:semiHidden/>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文字 Char"/>
    <w:basedOn w:val="10"/>
    <w:link w:val="2"/>
    <w:qFormat/>
    <w:uiPriority w:val="0"/>
    <w:rPr>
      <w:rFonts w:ascii="Calibri" w:hAnsi="Calibri" w:eastAsia="宋体" w:cs="Times New Roman"/>
      <w:szCs w:val="24"/>
    </w:rPr>
  </w:style>
  <w:style w:type="character" w:customStyle="1" w:styleId="17">
    <w:name w:val="批注主题 Char"/>
    <w:basedOn w:val="16"/>
    <w:link w:val="7"/>
    <w:semiHidden/>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383</Words>
  <Characters>2188</Characters>
  <Lines>18</Lines>
  <Paragraphs>5</Paragraphs>
  <TotalTime>4</TotalTime>
  <ScaleCrop>false</ScaleCrop>
  <LinksUpToDate>false</LinksUpToDate>
  <CharactersWithSpaces>2566</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2018-06-05T08:40:00Z</dcterms:created>
  <dc:creator>Windows 用户</dc:creator>
  <cp:lastModifiedBy>Administrator</cp:lastModifiedBy>
  <cp:lastPrinted>2018-06-05T06:04:00Z</cp:lastPrinted>
  <dcterms:modified xsi:type="dcterms:W3CDTF">2019-04-10T04:01:31Z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